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E7D" w:rsidRDefault="000F05CD" w:rsidP="00E66E7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0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</w:p>
    <w:p w:rsidR="00E66E7D" w:rsidRDefault="00E66E7D" w:rsidP="000F05C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6E7D" w:rsidRDefault="00E66E7D" w:rsidP="000F05C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2562045" cy="2562045"/>
            <wp:effectExtent l="0" t="0" r="3810" b="3810"/>
            <wp:docPr id="180724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4234" name="Picture 1807242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795" cy="25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E7D" w:rsidRDefault="00E66E7D" w:rsidP="000F05C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6E7D" w:rsidRPr="00012009" w:rsidRDefault="00E66E7D" w:rsidP="000F05C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F05CD" w:rsidRPr="00012009" w:rsidRDefault="000F05CD" w:rsidP="000F05CD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1200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Date </w:t>
      </w:r>
    </w:p>
    <w:p w:rsidR="000F05CD" w:rsidRPr="00012009" w:rsidRDefault="00E66E7D" w:rsidP="000F05C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Pr="00E66E7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June</w:t>
      </w:r>
      <w:r w:rsidR="000F05CD" w:rsidRPr="000120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Pr="00E66E7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July</w:t>
      </w:r>
      <w:r w:rsidR="000F05CD" w:rsidRPr="000120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</w:t>
      </w:r>
    </w:p>
    <w:p w:rsidR="00CA53B8" w:rsidRDefault="000F05CD" w:rsidP="000F05C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00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1200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Gallery Opens from</w:t>
      </w:r>
      <w:r w:rsidRPr="000120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00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E66E7D">
        <w:rPr>
          <w:rFonts w:ascii="Times New Roman" w:hAnsi="Times New Roman" w:cs="Times New Roman"/>
          <w:color w:val="000000" w:themeColor="text1"/>
          <w:sz w:val="20"/>
          <w:szCs w:val="20"/>
        </w:rPr>
        <w:t>10 AM – 6 PM</w:t>
      </w:r>
      <w:r w:rsidRPr="000120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| Closed on Mondays </w:t>
      </w:r>
    </w:p>
    <w:p w:rsidR="000F05CD" w:rsidRPr="00012009" w:rsidRDefault="00E66E7D" w:rsidP="000F05CD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0F05CD" w:rsidRPr="0001200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Exhibition Opening</w:t>
      </w:r>
    </w:p>
    <w:p w:rsidR="000F05CD" w:rsidRPr="00012009" w:rsidRDefault="00E66E7D" w:rsidP="000F05C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Wednesday</w:t>
      </w:r>
      <w:r w:rsidR="000F05CD" w:rsidRPr="000120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Pr="00E66E7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June</w:t>
      </w:r>
      <w:r w:rsidR="000F05CD" w:rsidRPr="000120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</w:t>
      </w:r>
    </w:p>
    <w:p w:rsidR="000F05CD" w:rsidRPr="00012009" w:rsidRDefault="000F05CD" w:rsidP="000F05C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F05CD" w:rsidRPr="003D4B22" w:rsidRDefault="000F05CD" w:rsidP="000F05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At its core, </w:t>
      </w:r>
      <w:r w:rsidRPr="003D4B2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Paper Menagerie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Exhibition 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explores paper’s dual nature—both fragile and enduring, ephemeral yet archival. </w:t>
      </w:r>
      <w:r w:rsidR="00E66E7D">
        <w:rPr>
          <w:rFonts w:ascii="Times New Roman" w:eastAsia="Times New Roman" w:hAnsi="Times New Roman" w:cs="Times New Roman"/>
          <w:kern w:val="0"/>
          <w14:ligatures w14:val="none"/>
        </w:rPr>
        <w:t xml:space="preserve">The first iteration of The Paper Menagerie Exhibition first started at our Gallery in Jakarta and now we are bringing it to Yogyakarta. 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The exhibition brings together </w:t>
      </w:r>
      <w:r w:rsidR="0098709D">
        <w:rPr>
          <w:rFonts w:ascii="Times New Roman" w:eastAsia="Times New Roman" w:hAnsi="Times New Roman" w:cs="Times New Roman"/>
          <w:kern w:val="0"/>
          <w14:ligatures w14:val="none"/>
        </w:rPr>
        <w:t>19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 artists, ranging from emerging voices to established figures, who push the boundaries of paper as a medium. Through their works, paper is transformed—cut, folded, sculpted, layered—revealing its potential as a carrier of memory, resistance, and personal history.</w:t>
      </w:r>
    </w:p>
    <w:p w:rsidR="000F05CD" w:rsidRPr="003D4B22" w:rsidRDefault="000F05CD" w:rsidP="000F05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Paper has long been an integral part of artistic and cultural expression. Its origins trace back to early Chinese papermaking, evolving across Southeast Asia through materials like </w:t>
      </w:r>
      <w:r w:rsidRPr="003D4B2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daluang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 in Java and </w:t>
      </w:r>
      <w:r w:rsidRPr="003D4B2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saa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 paper in Thailand. Beyond its function as a surface for writing and documentation, paper has historically been used as a medium for storytelling, from Javanese manuscripts to Chinese </w:t>
      </w:r>
      <w:r w:rsidRPr="003D4B2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Jianzhi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 paper-cutting. It has also played a pivotal role in political resistance, from underground pamphlets to protest posters, demonstrating how this seemingly delicate material holds immense power.</w:t>
      </w:r>
    </w:p>
    <w:p w:rsidR="000F05CD" w:rsidRPr="003D4B22" w:rsidRDefault="000F05CD" w:rsidP="00E66E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This versatility and ability to contain both history and emotion are central to the exhibition, inspired by Ken Liu’s short story </w:t>
      </w:r>
      <w:r w:rsidRPr="003D4B2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Paper Menagerie.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 In Liu’s narrative, a mother breathes life into paper origami, folding her love into creatures that accompany her son’s journey into 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adulthood. Yet as he grows, cultural displacement erases their meaning, leaving behind a language he can no longer read, a past he can no longer access. The story’s</w:t>
      </w:r>
      <w:r w:rsidR="00E66E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>quiet yet devastating meditation on identity, loss, and remembrance mirrors the nature of paper itself—how it records, absorbs, and preserves, yet can also tear, fade, and be discarded.</w:t>
      </w:r>
    </w:p>
    <w:p w:rsidR="000F05CD" w:rsidRPr="003D4B22" w:rsidRDefault="000F05CD" w:rsidP="000F05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Through the works of these </w:t>
      </w:r>
      <w:r w:rsidR="0098709D">
        <w:rPr>
          <w:rFonts w:ascii="Times New Roman" w:eastAsia="Times New Roman" w:hAnsi="Times New Roman" w:cs="Times New Roman"/>
          <w:kern w:val="0"/>
          <w14:ligatures w14:val="none"/>
        </w:rPr>
        <w:t>19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 artists, </w:t>
      </w:r>
      <w:r w:rsidRPr="003D4B2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Paper Menagerie</w:t>
      </w:r>
      <w:r w:rsidRPr="003D4B22">
        <w:rPr>
          <w:rFonts w:ascii="Times New Roman" w:eastAsia="Times New Roman" w:hAnsi="Times New Roman" w:cs="Times New Roman"/>
          <w:kern w:val="0"/>
          <w14:ligatures w14:val="none"/>
        </w:rPr>
        <w:t xml:space="preserve"> invites reflection on the ways paper shapes our lives. It is more than just a medium—it is a vessel for stories, a map of emotions, and an archive of fleeting moments. In its folds and fibers, paper holds what might otherwise be lost, waiting to be rediscovered, read, and remembered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0F05CD" w:rsidRDefault="000F05CD" w:rsidP="000F05C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F05CD" w:rsidRPr="00012009" w:rsidRDefault="000F05CD" w:rsidP="000F05CD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12009">
        <w:rPr>
          <w:rFonts w:ascii="Times New Roman" w:hAnsi="Times New Roman" w:cs="Times New Roman"/>
          <w:color w:val="000000" w:themeColor="text1"/>
          <w:u w:val="single"/>
        </w:rPr>
        <w:t>Participating Artists</w:t>
      </w:r>
    </w:p>
    <w:p w:rsidR="000F05CD" w:rsidRPr="00012009" w:rsidRDefault="000F05CD" w:rsidP="000F05C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A.Sebastianus</w:t>
      </w: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Adi Sundoro</w:t>
      </w: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Anang Saptoto</w:t>
      </w:r>
    </w:p>
    <w:p w:rsidR="000F05CD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Ashley Tay</w:t>
      </w:r>
    </w:p>
    <w:p w:rsidR="0098709D" w:rsidRPr="003D4B22" w:rsidRDefault="0098709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Dara Lo</w:t>
      </w: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David Bakti</w:t>
      </w: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Egga Jaya</w:t>
      </w: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Ella Wijt</w:t>
      </w: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HUUH Collective</w:t>
      </w: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Jumaadi</w:t>
      </w: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Keenan Tham</w:t>
      </w:r>
    </w:p>
    <w:p w:rsidR="000F05CD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Mujahidin Nurrahman</w:t>
      </w:r>
    </w:p>
    <w:p w:rsidR="0098709D" w:rsidRPr="003D4B22" w:rsidRDefault="0098709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Ng Jia Xi</w:t>
      </w: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Rui Kai Ho, Ayrton</w:t>
      </w:r>
    </w:p>
    <w:p w:rsidR="000F05CD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Ruth Marbun</w:t>
      </w:r>
    </w:p>
    <w:p w:rsidR="0098709D" w:rsidRPr="003D4B22" w:rsidRDefault="0098709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Sillyndris</w:t>
      </w:r>
    </w:p>
    <w:p w:rsidR="000F05CD" w:rsidRPr="003D4B22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Widi Pangestu</w:t>
      </w:r>
    </w:p>
    <w:p w:rsidR="000F05CD" w:rsidRDefault="000F05C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Yosefa Aulia</w:t>
      </w:r>
    </w:p>
    <w:p w:rsidR="0098709D" w:rsidRPr="003D4B22" w:rsidRDefault="0098709D" w:rsidP="000F05CD">
      <w:pPr>
        <w:jc w:val="both"/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 xml:space="preserve">Yunita Rebekah </w:t>
      </w:r>
    </w:p>
    <w:p w:rsidR="000F05CD" w:rsidRPr="003D4B22" w:rsidRDefault="000F05CD" w:rsidP="000F05C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4B22">
        <w:rPr>
          <w:rStyle w:val="oypena"/>
          <w:rFonts w:ascii="Times New Roman" w:hAnsi="Times New Roman" w:cs="Times New Roman"/>
          <w:color w:val="000000" w:themeColor="text1"/>
          <w:sz w:val="20"/>
          <w:szCs w:val="20"/>
        </w:rPr>
        <w:t>Zikry Rediansyah</w:t>
      </w:r>
    </w:p>
    <w:p w:rsidR="007776FB" w:rsidRDefault="007776FB"/>
    <w:p w:rsidR="007703FF" w:rsidRDefault="007703FF">
      <w:r>
        <w:t xml:space="preserve">For more information about this exhibition and other exhibitions by ISA Art Gallery, please visit our website at </w:t>
      </w:r>
      <w:hyperlink r:id="rId7" w:tgtFrame="_new" w:history="1">
        <w:r>
          <w:rPr>
            <w:rStyle w:val="Hyperlink"/>
          </w:rPr>
          <w:t>www.isaartanddesign.com</w:t>
        </w:r>
      </w:hyperlink>
      <w:r>
        <w:t xml:space="preserve"> or follow us on Instagram @isaart.id.</w:t>
      </w:r>
    </w:p>
    <w:sectPr w:rsidR="00770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85B" w:rsidRDefault="009E385B" w:rsidP="00E67A0D">
      <w:r>
        <w:separator/>
      </w:r>
    </w:p>
  </w:endnote>
  <w:endnote w:type="continuationSeparator" w:id="0">
    <w:p w:rsidR="009E385B" w:rsidRDefault="009E385B" w:rsidP="00E6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DD9" w:rsidRDefault="00A91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DD9" w:rsidRDefault="00A91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DD9" w:rsidRDefault="00A9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85B" w:rsidRDefault="009E385B" w:rsidP="00E67A0D">
      <w:r>
        <w:separator/>
      </w:r>
    </w:p>
  </w:footnote>
  <w:footnote w:type="continuationSeparator" w:id="0">
    <w:p w:rsidR="009E385B" w:rsidRDefault="009E385B" w:rsidP="00E6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DD9" w:rsidRDefault="00A91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A87" w:rsidRDefault="00A91DD9" w:rsidP="00FC3702">
    <w:pPr>
      <w:rPr>
        <w:rFonts w:ascii="Times New Roman" w:eastAsia="Times New Roman" w:hAnsi="Times New Roman" w:cs="Times New Roman"/>
        <w:sz w:val="28"/>
        <w:szCs w:val="28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56EE036" wp14:editId="299C4E76">
          <wp:simplePos x="0" y="0"/>
          <wp:positionH relativeFrom="column">
            <wp:posOffset>4206240</wp:posOffset>
          </wp:positionH>
          <wp:positionV relativeFrom="paragraph">
            <wp:posOffset>-87630</wp:posOffset>
          </wp:positionV>
          <wp:extent cx="890270" cy="890270"/>
          <wp:effectExtent l="0" t="0" r="0" b="0"/>
          <wp:wrapSquare wrapText="bothSides" distT="114300" distB="114300" distL="114300" distR="114300"/>
          <wp:docPr id="7079899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5FB73FF4" wp14:editId="141D56B3">
          <wp:simplePos x="0" y="0"/>
          <wp:positionH relativeFrom="column">
            <wp:posOffset>5011612</wp:posOffset>
          </wp:positionH>
          <wp:positionV relativeFrom="paragraph">
            <wp:posOffset>30228</wp:posOffset>
          </wp:positionV>
          <wp:extent cx="1552755" cy="488830"/>
          <wp:effectExtent l="0" t="0" r="0" b="0"/>
          <wp:wrapSquare wrapText="bothSides"/>
          <wp:docPr id="828062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062811" name="Picture 8280628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755" cy="48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Press Release                                                    </w:t>
    </w:r>
  </w:p>
  <w:p w:rsidR="00232A87" w:rsidRDefault="00A91DD9" w:rsidP="00FC3702">
    <w:pPr>
      <w:rPr>
        <w:rFonts w:ascii="Times New Roman" w:eastAsia="Times New Roman" w:hAnsi="Times New Roman" w:cs="Times New Roman"/>
        <w:sz w:val="28"/>
        <w:szCs w:val="28"/>
      </w:rPr>
    </w:pPr>
    <w:r w:rsidRPr="00FC3702">
      <w:rPr>
        <w:rFonts w:ascii="Times New Roman" w:eastAsia="Times New Roman" w:hAnsi="Times New Roman" w:cs="Times New Roman"/>
        <w:sz w:val="28"/>
        <w:szCs w:val="28"/>
      </w:rPr>
      <w:t>“</w:t>
    </w:r>
    <w:r>
      <w:rPr>
        <w:rFonts w:ascii="Times New Roman" w:eastAsia="Times New Roman" w:hAnsi="Times New Roman" w:cs="Times New Roman"/>
        <w:sz w:val="28"/>
        <w:szCs w:val="28"/>
      </w:rPr>
      <w:t>The Paper Menagerie</w:t>
    </w:r>
    <w:r w:rsidRPr="00FC3702">
      <w:rPr>
        <w:rFonts w:ascii="Times New Roman" w:eastAsia="Times New Roman" w:hAnsi="Times New Roman" w:cs="Times New Roman"/>
        <w:sz w:val="28"/>
        <w:szCs w:val="28"/>
      </w:rPr>
      <w:t>”</w:t>
    </w:r>
    <w:r>
      <w:rPr>
        <w:rFonts w:ascii="Times New Roman" w:eastAsia="Times New Roman" w:hAnsi="Times New Roman" w:cs="Times New Roman"/>
        <w:sz w:val="28"/>
        <w:szCs w:val="28"/>
      </w:rPr>
      <w:t xml:space="preserve"> Exhibition</w:t>
    </w:r>
  </w:p>
  <w:p w:rsidR="00232A87" w:rsidRDefault="00E66E7D" w:rsidP="00E66E7D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18</w:t>
    </w:r>
    <w:r w:rsidRPr="00FC3702">
      <w:rPr>
        <w:rFonts w:ascii="Times New Roman" w:eastAsia="Times New Roman" w:hAnsi="Times New Roman" w:cs="Times New Roman"/>
        <w:sz w:val="28"/>
        <w:szCs w:val="28"/>
        <w:vertAlign w:val="superscript"/>
      </w:rPr>
      <w:t>th</w:t>
    </w:r>
    <w:r>
      <w:rPr>
        <w:rFonts w:ascii="Times New Roman" w:eastAsia="Times New Roman" w:hAnsi="Times New Roman" w:cs="Times New Roman"/>
        <w:sz w:val="28"/>
        <w:szCs w:val="28"/>
      </w:rPr>
      <w:t xml:space="preserve"> June 2025 – 26</w:t>
    </w:r>
    <w:r w:rsidRPr="00FC3702">
      <w:rPr>
        <w:rFonts w:ascii="Times New Roman" w:eastAsia="Times New Roman" w:hAnsi="Times New Roman" w:cs="Times New Roman"/>
        <w:sz w:val="28"/>
        <w:szCs w:val="28"/>
        <w:vertAlign w:val="superscript"/>
      </w:rPr>
      <w:t>th</w:t>
    </w:r>
    <w:r>
      <w:rPr>
        <w:rFonts w:ascii="Times New Roman" w:eastAsia="Times New Roman" w:hAnsi="Times New Roman" w:cs="Times New Roman"/>
        <w:sz w:val="28"/>
        <w:szCs w:val="28"/>
      </w:rPr>
      <w:t xml:space="preserve"> July 2025</w:t>
    </w:r>
  </w:p>
  <w:p w:rsidR="00E66E7D" w:rsidRPr="00E66E7D" w:rsidRDefault="00E66E7D" w:rsidP="00E66E7D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Omah Budoyo, Yogyakarta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DD9" w:rsidRDefault="00A91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CD"/>
    <w:rsid w:val="000F05CD"/>
    <w:rsid w:val="00232A87"/>
    <w:rsid w:val="007703FF"/>
    <w:rsid w:val="007776FB"/>
    <w:rsid w:val="0098709D"/>
    <w:rsid w:val="009E385B"/>
    <w:rsid w:val="00A91DD9"/>
    <w:rsid w:val="00BC0BA7"/>
    <w:rsid w:val="00BC6482"/>
    <w:rsid w:val="00BF5F5F"/>
    <w:rsid w:val="00CA53B8"/>
    <w:rsid w:val="00CE4441"/>
    <w:rsid w:val="00E66E7D"/>
    <w:rsid w:val="00E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F2522"/>
  <w15:chartTrackingRefBased/>
  <w15:docId w15:val="{197B4FBB-5A6E-6040-BACA-68B6BCC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5CD"/>
  </w:style>
  <w:style w:type="character" w:customStyle="1" w:styleId="oypena">
    <w:name w:val="oypena"/>
    <w:basedOn w:val="DefaultParagraphFont"/>
    <w:rsid w:val="000F05CD"/>
  </w:style>
  <w:style w:type="paragraph" w:styleId="Footer">
    <w:name w:val="footer"/>
    <w:basedOn w:val="Normal"/>
    <w:link w:val="FooterChar"/>
    <w:uiPriority w:val="99"/>
    <w:unhideWhenUsed/>
    <w:rsid w:val="00E67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A0D"/>
  </w:style>
  <w:style w:type="character" w:styleId="Hyperlink">
    <w:name w:val="Hyperlink"/>
    <w:basedOn w:val="DefaultParagraphFont"/>
    <w:uiPriority w:val="99"/>
    <w:semiHidden/>
    <w:unhideWhenUsed/>
    <w:rsid w:val="00770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saartanddesign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Exhibition</dc:creator>
  <cp:keywords/>
  <dc:description/>
  <cp:lastModifiedBy>Exhibition</cp:lastModifiedBy>
  <cp:revision>6</cp:revision>
  <dcterms:created xsi:type="dcterms:W3CDTF">2025-02-19T09:00:00Z</dcterms:created>
  <dcterms:modified xsi:type="dcterms:W3CDTF">2025-05-23T03:35:00Z</dcterms:modified>
</cp:coreProperties>
</file>